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0E" w:rsidRDefault="00A83D0E" w:rsidP="009B32B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val="it-IT" w:bidi="ar-SA"/>
        </w:rPr>
      </w:pPr>
    </w:p>
    <w:p w:rsidR="00A83D0E" w:rsidRPr="00526021" w:rsidRDefault="00526021" w:rsidP="00526021">
      <w:pPr>
        <w:autoSpaceDE w:val="0"/>
        <w:autoSpaceDN w:val="0"/>
        <w:adjustRightInd w:val="0"/>
        <w:snapToGrid w:val="0"/>
        <w:ind w:left="2124"/>
        <w:rPr>
          <w:rFonts w:ascii="Tahoma" w:eastAsia="Times New Roman" w:hAnsi="Tahoma" w:cs="Tahoma"/>
          <w:b/>
          <w:color w:val="323232"/>
          <w:sz w:val="24"/>
          <w:szCs w:val="24"/>
          <w:lang w:val="it-IT" w:bidi="ar-SA"/>
        </w:rPr>
      </w:pPr>
      <w:r>
        <w:rPr>
          <w:rFonts w:ascii="Tahoma" w:eastAsia="Times New Roman" w:hAnsi="Tahoma" w:cs="Tahoma"/>
          <w:b/>
          <w:noProof/>
          <w:color w:val="323232"/>
          <w:sz w:val="24"/>
          <w:szCs w:val="24"/>
          <w:lang w:val="it-IT"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29845</wp:posOffset>
            </wp:positionV>
            <wp:extent cx="1343025" cy="1562100"/>
            <wp:effectExtent l="19050" t="0" r="9525" b="0"/>
            <wp:wrapSquare wrapText="bothSides"/>
            <wp:docPr id="3" name="Immagine 1" descr="P1010525 v2-2-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25 v2-2-ligh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D0E" w:rsidRPr="00526021">
        <w:rPr>
          <w:rFonts w:ascii="Tahoma" w:eastAsia="Times New Roman" w:hAnsi="Tahoma" w:cs="Tahoma"/>
          <w:b/>
          <w:color w:val="323232"/>
          <w:sz w:val="24"/>
          <w:szCs w:val="24"/>
          <w:lang w:val="it-IT" w:bidi="ar-SA"/>
        </w:rPr>
        <w:t>Giovanbattista Testolin (</w:t>
      </w:r>
      <w:r w:rsidRPr="00526021">
        <w:rPr>
          <w:rFonts w:ascii="Tahoma" w:eastAsia="Times New Roman" w:hAnsi="Tahoma" w:cs="Tahoma"/>
          <w:b/>
          <w:color w:val="323232"/>
          <w:sz w:val="24"/>
          <w:szCs w:val="24"/>
          <w:lang w:val="it-IT" w:bidi="ar-SA"/>
        </w:rPr>
        <w:t>3248)</w:t>
      </w:r>
    </w:p>
    <w:p w:rsidR="009B32BE" w:rsidRPr="00A83D0E" w:rsidRDefault="009B32BE" w:rsidP="009B32B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 w:rsidRPr="00A83D0E">
        <w:rPr>
          <w:rFonts w:ascii="Tahoma" w:eastAsia="Times New Roman" w:hAnsi="Tahoma" w:cs="Tahoma"/>
          <w:color w:val="323232"/>
          <w:sz w:val="24"/>
          <w:szCs w:val="24"/>
          <w:lang w:bidi="ar-SA"/>
        </w:rPr>
        <w:t xml:space="preserve">Ingegnere Elettronico poi sviluppatosi in ruoli gestionali. Specialista su rileggere il modo di fare business nell’ambito dell’espansione dei mercati e dell’efficienza organizzativa. </w:t>
      </w:r>
    </w:p>
    <w:p w:rsidR="009B32BE" w:rsidRPr="00A83D0E" w:rsidRDefault="009B32B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 w:rsidRPr="00A83D0E">
        <w:rPr>
          <w:rFonts w:ascii="Tahoma" w:eastAsia="Times New Roman" w:hAnsi="Tahoma" w:cs="Tahoma"/>
          <w:color w:val="323232"/>
          <w:sz w:val="24"/>
          <w:szCs w:val="24"/>
          <w:lang w:bidi="ar-SA"/>
        </w:rPr>
        <w:t xml:space="preserve">Già progettista, consulente, impiegato, project manager, direttore, amministratore in aziende medie e multinazionali. </w:t>
      </w:r>
    </w:p>
    <w:p w:rsidR="009B32BE" w:rsidRPr="00A83D0E" w:rsidRDefault="009B32B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 w:rsidRPr="00A83D0E">
        <w:rPr>
          <w:rFonts w:ascii="Tahoma" w:eastAsia="Times New Roman" w:hAnsi="Tahoma" w:cs="Tahoma"/>
          <w:color w:val="323232"/>
          <w:sz w:val="24"/>
          <w:szCs w:val="24"/>
          <w:lang w:bidi="ar-SA"/>
        </w:rPr>
        <w:t xml:space="preserve">Appassionato di </w:t>
      </w:r>
      <w:r w:rsidR="00691D26">
        <w:rPr>
          <w:rFonts w:ascii="Tahoma" w:eastAsia="Times New Roman" w:hAnsi="Tahoma" w:cs="Tahoma"/>
          <w:color w:val="323232"/>
          <w:sz w:val="24"/>
          <w:szCs w:val="24"/>
          <w:lang w:val="it-IT" w:bidi="ar-SA"/>
        </w:rPr>
        <w:t>attività produttive</w:t>
      </w:r>
      <w:r w:rsidRPr="00A83D0E">
        <w:rPr>
          <w:rFonts w:ascii="Tahoma" w:eastAsia="Times New Roman" w:hAnsi="Tahoma" w:cs="Tahoma"/>
          <w:color w:val="323232"/>
          <w:sz w:val="24"/>
          <w:szCs w:val="24"/>
          <w:lang w:bidi="ar-SA"/>
        </w:rPr>
        <w:t xml:space="preserve"> e tecnologia. </w:t>
      </w:r>
    </w:p>
    <w:p w:rsidR="009B32BE" w:rsidRPr="00691D26" w:rsidRDefault="009B32B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 w:rsidRPr="00A83D0E">
        <w:rPr>
          <w:rFonts w:ascii="Tahoma" w:eastAsia="Times New Roman" w:hAnsi="Tahoma" w:cs="Tahoma"/>
          <w:color w:val="323232"/>
          <w:sz w:val="24"/>
          <w:szCs w:val="24"/>
          <w:lang w:bidi="ar-SA"/>
        </w:rPr>
        <w:t xml:space="preserve">Si candida </w:t>
      </w:r>
      <w:r w:rsidR="00691D26">
        <w:rPr>
          <w:rFonts w:ascii="Tahoma" w:eastAsia="Times New Roman" w:hAnsi="Tahoma" w:cs="Tahoma"/>
          <w:color w:val="323232"/>
          <w:sz w:val="24"/>
          <w:szCs w:val="24"/>
          <w:lang w:val="it-IT" w:bidi="ar-SA"/>
        </w:rPr>
        <w:t xml:space="preserve">in continuità con le attività </w:t>
      </w:r>
      <w:r w:rsidR="00691D26" w:rsidRPr="00A83D0E">
        <w:rPr>
          <w:rFonts w:ascii="Tahoma" w:eastAsia="Times New Roman" w:hAnsi="Tahoma" w:cs="Tahoma"/>
          <w:color w:val="323232"/>
          <w:sz w:val="24"/>
          <w:szCs w:val="24"/>
          <w:lang w:bidi="ar-SA"/>
        </w:rPr>
        <w:t>nell’Ordine come membro e poi presidente della Commissione Dipendenti di Azienda Privata / Industria e del Comitato di Redazione.</w:t>
      </w:r>
      <w:r w:rsidR="00691D26">
        <w:rPr>
          <w:rFonts w:ascii="Tahoma" w:eastAsia="Times New Roman" w:hAnsi="Tahoma" w:cs="Tahoma"/>
          <w:color w:val="323232"/>
          <w:sz w:val="24"/>
          <w:szCs w:val="24"/>
          <w:lang w:val="it-IT" w:bidi="ar-SA"/>
        </w:rPr>
        <w:t xml:space="preserve"> P</w:t>
      </w:r>
      <w:proofErr w:type="spellStart"/>
      <w:r w:rsidRPr="00A83D0E">
        <w:rPr>
          <w:rFonts w:ascii="Tahoma" w:eastAsia="Times New Roman" w:hAnsi="Tahoma" w:cs="Tahoma"/>
          <w:color w:val="323232"/>
          <w:sz w:val="24"/>
          <w:szCs w:val="24"/>
          <w:lang w:bidi="ar-SA"/>
        </w:rPr>
        <w:t>er</w:t>
      </w:r>
      <w:proofErr w:type="spellEnd"/>
      <w:r w:rsidRPr="00A83D0E">
        <w:rPr>
          <w:rFonts w:ascii="Tahoma" w:eastAsia="Times New Roman" w:hAnsi="Tahoma" w:cs="Tahoma"/>
          <w:color w:val="323232"/>
          <w:sz w:val="24"/>
          <w:szCs w:val="24"/>
          <w:lang w:bidi="ar-SA"/>
        </w:rPr>
        <w:t xml:space="preserve"> valorizzare le nostre competenze progettuali, tecnologiche, organizzative, di risolvere problemi nel contesto di innovazione sempre più rapida dei prodotti, dei modi di progettarli, produrli, venderli, distribuirli.</w:t>
      </w:r>
    </w:p>
    <w:p w:rsidR="00720314" w:rsidRDefault="00720314" w:rsidP="00720314">
      <w:pPr>
        <w:pStyle w:val="Nessunaspaziatura"/>
        <w:ind w:left="0"/>
        <w:rPr>
          <w:rFonts w:ascii="Tahoma" w:eastAsia="Times New Roman" w:hAnsi="Tahoma" w:cs="Tahoma"/>
          <w:color w:val="323232"/>
          <w:sz w:val="24"/>
          <w:szCs w:val="24"/>
          <w:lang w:val="it-IT" w:bidi="ar-SA"/>
        </w:rPr>
      </w:pPr>
    </w:p>
    <w:p w:rsidR="00691D26" w:rsidRDefault="00691D26" w:rsidP="00720314">
      <w:pPr>
        <w:pStyle w:val="Nessunaspaziatura"/>
        <w:ind w:left="0"/>
        <w:rPr>
          <w:rFonts w:ascii="Tahoma" w:eastAsia="Times New Roman" w:hAnsi="Tahoma" w:cs="Tahoma"/>
          <w:color w:val="323232"/>
          <w:sz w:val="24"/>
          <w:szCs w:val="24"/>
          <w:lang w:val="it-IT" w:bidi="ar-SA"/>
        </w:rPr>
      </w:pPr>
      <w:r>
        <w:rPr>
          <w:rFonts w:ascii="Tahoma" w:eastAsia="Times New Roman" w:hAnsi="Tahoma" w:cs="Tahoma"/>
          <w:color w:val="323232"/>
          <w:sz w:val="24"/>
          <w:szCs w:val="24"/>
          <w:lang w:val="it-IT" w:bidi="ar-SA"/>
        </w:rPr>
        <w:t>=========================================================</w:t>
      </w:r>
    </w:p>
    <w:p w:rsidR="00A83D0E" w:rsidRDefault="00A83D0E" w:rsidP="00720314">
      <w:pPr>
        <w:pStyle w:val="Nessunaspaziatura"/>
        <w:ind w:left="0"/>
        <w:rPr>
          <w:rFonts w:ascii="Tahoma" w:eastAsia="Times New Roman" w:hAnsi="Tahoma" w:cs="Tahoma"/>
          <w:color w:val="323232"/>
          <w:sz w:val="24"/>
          <w:szCs w:val="24"/>
          <w:lang w:val="it-IT" w:bidi="ar-SA"/>
        </w:rPr>
      </w:pP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000000"/>
          <w:sz w:val="24"/>
          <w:szCs w:val="24"/>
          <w:lang w:bidi="ar-SA"/>
        </w:rPr>
      </w:pPr>
      <w:r>
        <w:rPr>
          <w:rFonts w:ascii="Tahoma-Bold" w:eastAsia="Times New Roman" w:hAnsi="Tahoma-Bold" w:cs="Tahoma-Bold"/>
          <w:noProof/>
          <w:color w:val="000000"/>
          <w:sz w:val="24"/>
          <w:szCs w:val="24"/>
          <w:lang w:val="it-IT" w:eastAsia="it-IT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635</wp:posOffset>
            </wp:positionV>
            <wp:extent cx="1181100" cy="1571625"/>
            <wp:effectExtent l="19050" t="0" r="0" b="0"/>
            <wp:wrapSquare wrapText="bothSides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-Bold" w:eastAsia="Times New Roman" w:hAnsi="Tahoma-Bold" w:cs="Tahoma-Bold"/>
          <w:color w:val="000000"/>
          <w:sz w:val="24"/>
          <w:szCs w:val="24"/>
          <w:lang w:bidi="ar-SA"/>
        </w:rPr>
        <w:t xml:space="preserve">Emilia Riva </w:t>
      </w:r>
      <w:r>
        <w:rPr>
          <w:rFonts w:ascii="Tahoma" w:eastAsia="Times New Roman" w:hAnsi="Tahoma" w:cs="Tahoma"/>
          <w:color w:val="000000"/>
          <w:sz w:val="24"/>
          <w:szCs w:val="24"/>
          <w:lang w:bidi="ar-SA"/>
        </w:rPr>
        <w:t>(1292)</w:t>
      </w: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>Ingegnere civile edile, libero professionista dal 1976. E’ titolare, con il</w:t>
      </w: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 xml:space="preserve">marito architetto, di uno studio associato con sede in </w:t>
      </w:r>
      <w:proofErr w:type="spellStart"/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>Calusco</w:t>
      </w:r>
      <w:proofErr w:type="spellEnd"/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 xml:space="preserve"> d’Adda.</w:t>
      </w: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>Si occupa di controllo della progettazione, direzione dei lavori e</w:t>
      </w: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>sicurezza in cantiere per l’edilizia civile ed industriale. Dal 2009 è</w:t>
      </w: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>Consigliere Tesoriere dell’Ordine Ingegneri di Bergamo. Si candida in</w:t>
      </w: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>continuità del lavoro già svolto per consolidare i risultati positivi</w:t>
      </w: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>ottenuti e per garantire servizi adeguati, efficienti e di qualità a tutela</w:t>
      </w: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>di tutti gli ingegneri iscritti all’ Ordine.</w:t>
      </w:r>
    </w:p>
    <w:p w:rsidR="00A83D0E" w:rsidRDefault="00A83D0E" w:rsidP="00720314">
      <w:pPr>
        <w:pStyle w:val="Nessunaspaziatura"/>
        <w:ind w:left="0"/>
        <w:rPr>
          <w:rFonts w:ascii="Tahoma" w:eastAsia="Times New Roman" w:hAnsi="Tahoma" w:cs="Tahoma"/>
          <w:color w:val="323232"/>
          <w:sz w:val="24"/>
          <w:szCs w:val="24"/>
          <w:lang w:val="it-IT" w:bidi="ar-SA"/>
        </w:rPr>
      </w:pPr>
    </w:p>
    <w:p w:rsidR="00A83D0E" w:rsidRDefault="00A83D0E" w:rsidP="00720314">
      <w:pPr>
        <w:pStyle w:val="Nessunaspaziatura"/>
        <w:ind w:left="0"/>
        <w:rPr>
          <w:rFonts w:ascii="Tahoma" w:eastAsia="Times New Roman" w:hAnsi="Tahoma" w:cs="Tahoma"/>
          <w:color w:val="323232"/>
          <w:sz w:val="24"/>
          <w:szCs w:val="24"/>
          <w:lang w:val="it-IT" w:bidi="ar-SA"/>
        </w:rPr>
      </w:pP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>
        <w:rPr>
          <w:rFonts w:ascii="Tahoma-Bold" w:eastAsia="Times New Roman" w:hAnsi="Tahoma-Bold" w:cs="Tahoma-Bold"/>
          <w:noProof/>
          <w:color w:val="323232"/>
          <w:sz w:val="24"/>
          <w:szCs w:val="24"/>
          <w:lang w:val="it-IT"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62865</wp:posOffset>
            </wp:positionV>
            <wp:extent cx="1371600" cy="1676400"/>
            <wp:effectExtent l="19050" t="0" r="0" b="0"/>
            <wp:wrapSquare wrapText="bothSides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-Bold" w:eastAsia="Times New Roman" w:hAnsi="Tahoma-Bold" w:cs="Tahoma-Bold"/>
          <w:color w:val="323232"/>
          <w:sz w:val="24"/>
          <w:szCs w:val="24"/>
          <w:lang w:bidi="ar-SA"/>
        </w:rPr>
        <w:t xml:space="preserve">Diego </w:t>
      </w:r>
      <w:proofErr w:type="spellStart"/>
      <w:r>
        <w:rPr>
          <w:rFonts w:ascii="Tahoma-Bold" w:eastAsia="Times New Roman" w:hAnsi="Tahoma-Bold" w:cs="Tahoma-Bold"/>
          <w:color w:val="323232"/>
          <w:sz w:val="24"/>
          <w:szCs w:val="24"/>
          <w:lang w:bidi="ar-SA"/>
        </w:rPr>
        <w:t>Finazzi</w:t>
      </w:r>
      <w:proofErr w:type="spellEnd"/>
      <w:r>
        <w:rPr>
          <w:rFonts w:ascii="Tahoma-Bold" w:eastAsia="Times New Roman" w:hAnsi="Tahoma-Bold" w:cs="Tahoma-Bold"/>
          <w:color w:val="323232"/>
          <w:sz w:val="24"/>
          <w:szCs w:val="24"/>
          <w:lang w:bidi="ar-SA"/>
        </w:rPr>
        <w:t xml:space="preserve"> </w:t>
      </w:r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>(1390).</w:t>
      </w: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000000"/>
          <w:sz w:val="24"/>
          <w:szCs w:val="24"/>
          <w:lang w:bidi="ar-SA"/>
        </w:rPr>
      </w:pPr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 xml:space="preserve">Ingegnere civile, sez. Trasporti. </w:t>
      </w:r>
      <w:r>
        <w:rPr>
          <w:rFonts w:ascii="Tahoma" w:eastAsia="Times New Roman" w:hAnsi="Tahoma" w:cs="Tahoma"/>
          <w:color w:val="000000"/>
          <w:sz w:val="24"/>
          <w:szCs w:val="24"/>
          <w:lang w:bidi="ar-SA"/>
        </w:rPr>
        <w:t>Dirigente del Comune di Bergamo,</w:t>
      </w: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000000"/>
          <w:sz w:val="24"/>
          <w:szCs w:val="24"/>
          <w:lang w:bidi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bidi="ar-SA"/>
        </w:rPr>
        <w:t>Direzione Patrimonio e Servizi a Rete, svolge, anche, attività di</w:t>
      </w: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bidi="ar-SA"/>
        </w:rPr>
        <w:t xml:space="preserve">Progettazione, D.L. e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bidi="ar-SA"/>
        </w:rPr>
        <w:t>R.U.P.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bidi="ar-SA"/>
        </w:rPr>
        <w:t xml:space="preserve"> di Opere Pubbliche. Già </w:t>
      </w:r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>Dirigente sia</w:t>
      </w: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>nell’area dei Lavori Pubblici, con l’incarico di Ingegnere Capo, che</w:t>
      </w: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000000"/>
          <w:sz w:val="24"/>
          <w:szCs w:val="24"/>
          <w:lang w:bidi="ar-SA"/>
        </w:rPr>
      </w:pPr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 xml:space="preserve">della Gestione del Territorio (Urbanistica). </w:t>
      </w:r>
      <w:r>
        <w:rPr>
          <w:rFonts w:ascii="Tahoma" w:eastAsia="Times New Roman" w:hAnsi="Tahoma" w:cs="Tahoma"/>
          <w:color w:val="000000"/>
          <w:sz w:val="24"/>
          <w:szCs w:val="24"/>
          <w:lang w:bidi="ar-SA"/>
        </w:rPr>
        <w:t>Autore di numerosi articoli,</w:t>
      </w: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000000"/>
          <w:sz w:val="24"/>
          <w:szCs w:val="24"/>
          <w:lang w:bidi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bidi="ar-SA"/>
        </w:rPr>
        <w:t>pubblicazioni e contributi su argomenti di interesse della Pubblica</w:t>
      </w: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bidi="ar-SA"/>
        </w:rPr>
        <w:t xml:space="preserve">Amministrazione. </w:t>
      </w:r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>Consigliere dell’Ordine degli Ingegneri della Prov. di</w:t>
      </w: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>Bergamo nell’ultimo mandato. Con la sua ricandidatura, oltre ai</w:t>
      </w: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>previsti obblighi istituzionali, intende sostenere e implementare le</w:t>
      </w:r>
    </w:p>
    <w:p w:rsidR="00A83D0E" w:rsidRDefault="00A83D0E" w:rsidP="00A83D0E">
      <w:pPr>
        <w:autoSpaceDE w:val="0"/>
        <w:autoSpaceDN w:val="0"/>
        <w:adjustRightInd w:val="0"/>
        <w:snapToGrid w:val="0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  <w:r>
        <w:rPr>
          <w:rFonts w:ascii="Tahoma" w:eastAsia="Times New Roman" w:hAnsi="Tahoma" w:cs="Tahoma"/>
          <w:color w:val="323232"/>
          <w:sz w:val="24"/>
          <w:szCs w:val="24"/>
          <w:lang w:bidi="ar-SA"/>
        </w:rPr>
        <w:t>relazioni tra Ordine e Enti istituzionali.</w:t>
      </w:r>
    </w:p>
    <w:p w:rsidR="00A83D0E" w:rsidRPr="00A83D0E" w:rsidRDefault="00A83D0E" w:rsidP="00720314">
      <w:pPr>
        <w:pStyle w:val="Nessunaspaziatura"/>
        <w:ind w:left="0"/>
        <w:rPr>
          <w:rFonts w:ascii="Tahoma" w:eastAsia="Times New Roman" w:hAnsi="Tahoma" w:cs="Tahoma"/>
          <w:color w:val="323232"/>
          <w:sz w:val="24"/>
          <w:szCs w:val="24"/>
          <w:lang w:bidi="ar-SA"/>
        </w:rPr>
      </w:pPr>
    </w:p>
    <w:sectPr w:rsidR="00A83D0E" w:rsidRPr="00A83D0E" w:rsidSect="003973B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0314"/>
    <w:rsid w:val="00002E9C"/>
    <w:rsid w:val="000102B4"/>
    <w:rsid w:val="00012F24"/>
    <w:rsid w:val="00014CB9"/>
    <w:rsid w:val="0001507C"/>
    <w:rsid w:val="00017E15"/>
    <w:rsid w:val="00024167"/>
    <w:rsid w:val="00037A19"/>
    <w:rsid w:val="00042DB4"/>
    <w:rsid w:val="00044B17"/>
    <w:rsid w:val="0006071F"/>
    <w:rsid w:val="00084898"/>
    <w:rsid w:val="00096614"/>
    <w:rsid w:val="000A4C53"/>
    <w:rsid w:val="000A4D30"/>
    <w:rsid w:val="000B02D0"/>
    <w:rsid w:val="000B0CE7"/>
    <w:rsid w:val="000B6630"/>
    <w:rsid w:val="000C34BC"/>
    <w:rsid w:val="000D113A"/>
    <w:rsid w:val="000D7635"/>
    <w:rsid w:val="000F1684"/>
    <w:rsid w:val="000F1832"/>
    <w:rsid w:val="000F3447"/>
    <w:rsid w:val="000F463F"/>
    <w:rsid w:val="000F5D74"/>
    <w:rsid w:val="000F68E2"/>
    <w:rsid w:val="00101C8F"/>
    <w:rsid w:val="00106815"/>
    <w:rsid w:val="00107331"/>
    <w:rsid w:val="00120594"/>
    <w:rsid w:val="00134B8E"/>
    <w:rsid w:val="0013792F"/>
    <w:rsid w:val="001543CD"/>
    <w:rsid w:val="00154F14"/>
    <w:rsid w:val="001558C5"/>
    <w:rsid w:val="00160286"/>
    <w:rsid w:val="0017430E"/>
    <w:rsid w:val="00174356"/>
    <w:rsid w:val="00177A50"/>
    <w:rsid w:val="00185A1B"/>
    <w:rsid w:val="00192772"/>
    <w:rsid w:val="00193443"/>
    <w:rsid w:val="00194034"/>
    <w:rsid w:val="00194AAC"/>
    <w:rsid w:val="00195EC7"/>
    <w:rsid w:val="001A346D"/>
    <w:rsid w:val="001A4F97"/>
    <w:rsid w:val="001B255F"/>
    <w:rsid w:val="001B74A6"/>
    <w:rsid w:val="001E3657"/>
    <w:rsid w:val="001E3E5B"/>
    <w:rsid w:val="001F30CD"/>
    <w:rsid w:val="001F3D9E"/>
    <w:rsid w:val="001F4502"/>
    <w:rsid w:val="001F6C66"/>
    <w:rsid w:val="00201092"/>
    <w:rsid w:val="0020745B"/>
    <w:rsid w:val="00226D61"/>
    <w:rsid w:val="002412B0"/>
    <w:rsid w:val="002418C3"/>
    <w:rsid w:val="00262D10"/>
    <w:rsid w:val="00266989"/>
    <w:rsid w:val="00276DAB"/>
    <w:rsid w:val="002778B3"/>
    <w:rsid w:val="00280D9A"/>
    <w:rsid w:val="00282E17"/>
    <w:rsid w:val="0028375C"/>
    <w:rsid w:val="00284866"/>
    <w:rsid w:val="002853D5"/>
    <w:rsid w:val="00297297"/>
    <w:rsid w:val="0029797C"/>
    <w:rsid w:val="002A23A6"/>
    <w:rsid w:val="002A41CD"/>
    <w:rsid w:val="002B0A07"/>
    <w:rsid w:val="002C254E"/>
    <w:rsid w:val="002D7422"/>
    <w:rsid w:val="002E149A"/>
    <w:rsid w:val="002E742D"/>
    <w:rsid w:val="002F3CEB"/>
    <w:rsid w:val="00303109"/>
    <w:rsid w:val="003036DC"/>
    <w:rsid w:val="0030378A"/>
    <w:rsid w:val="0030657C"/>
    <w:rsid w:val="00311A76"/>
    <w:rsid w:val="003172EC"/>
    <w:rsid w:val="00332567"/>
    <w:rsid w:val="00342364"/>
    <w:rsid w:val="003448F2"/>
    <w:rsid w:val="00352D48"/>
    <w:rsid w:val="003579DA"/>
    <w:rsid w:val="00362435"/>
    <w:rsid w:val="0036773C"/>
    <w:rsid w:val="00371011"/>
    <w:rsid w:val="00373910"/>
    <w:rsid w:val="00380DF1"/>
    <w:rsid w:val="00381E6B"/>
    <w:rsid w:val="00382F90"/>
    <w:rsid w:val="00385329"/>
    <w:rsid w:val="003C1B65"/>
    <w:rsid w:val="003C1D6D"/>
    <w:rsid w:val="003C3680"/>
    <w:rsid w:val="003D249B"/>
    <w:rsid w:val="003D2598"/>
    <w:rsid w:val="003D269C"/>
    <w:rsid w:val="003D4592"/>
    <w:rsid w:val="003D47DF"/>
    <w:rsid w:val="003E2CDB"/>
    <w:rsid w:val="003E5712"/>
    <w:rsid w:val="003E660C"/>
    <w:rsid w:val="003E7B33"/>
    <w:rsid w:val="003F2CCD"/>
    <w:rsid w:val="00403862"/>
    <w:rsid w:val="00406C46"/>
    <w:rsid w:val="0040715E"/>
    <w:rsid w:val="00407AAE"/>
    <w:rsid w:val="00420FDF"/>
    <w:rsid w:val="00421E25"/>
    <w:rsid w:val="00424C35"/>
    <w:rsid w:val="00425330"/>
    <w:rsid w:val="00430903"/>
    <w:rsid w:val="00432CF5"/>
    <w:rsid w:val="00436DF0"/>
    <w:rsid w:val="00442093"/>
    <w:rsid w:val="0044411D"/>
    <w:rsid w:val="00460C7A"/>
    <w:rsid w:val="00480CD3"/>
    <w:rsid w:val="00482B16"/>
    <w:rsid w:val="00485ED9"/>
    <w:rsid w:val="00490ABA"/>
    <w:rsid w:val="004C7B20"/>
    <w:rsid w:val="004E4FD5"/>
    <w:rsid w:val="004E6B7E"/>
    <w:rsid w:val="004E75A9"/>
    <w:rsid w:val="004F2367"/>
    <w:rsid w:val="004F5A78"/>
    <w:rsid w:val="00510193"/>
    <w:rsid w:val="0051544B"/>
    <w:rsid w:val="00526021"/>
    <w:rsid w:val="00526D11"/>
    <w:rsid w:val="00534BE7"/>
    <w:rsid w:val="00534C43"/>
    <w:rsid w:val="005543DD"/>
    <w:rsid w:val="00555197"/>
    <w:rsid w:val="005610AD"/>
    <w:rsid w:val="00582745"/>
    <w:rsid w:val="005841B7"/>
    <w:rsid w:val="005950FC"/>
    <w:rsid w:val="005A1665"/>
    <w:rsid w:val="005B3C0B"/>
    <w:rsid w:val="005B6476"/>
    <w:rsid w:val="005C11AF"/>
    <w:rsid w:val="005C45E1"/>
    <w:rsid w:val="005D472F"/>
    <w:rsid w:val="005D66EA"/>
    <w:rsid w:val="005E4C53"/>
    <w:rsid w:val="005F425A"/>
    <w:rsid w:val="005F6058"/>
    <w:rsid w:val="00606D66"/>
    <w:rsid w:val="00614B53"/>
    <w:rsid w:val="00615F57"/>
    <w:rsid w:val="0061744E"/>
    <w:rsid w:val="006213D4"/>
    <w:rsid w:val="00621DB4"/>
    <w:rsid w:val="006243C1"/>
    <w:rsid w:val="006245F9"/>
    <w:rsid w:val="00631E19"/>
    <w:rsid w:val="00632CAF"/>
    <w:rsid w:val="00650690"/>
    <w:rsid w:val="00653F1B"/>
    <w:rsid w:val="0065709F"/>
    <w:rsid w:val="006617D2"/>
    <w:rsid w:val="0067237E"/>
    <w:rsid w:val="00691688"/>
    <w:rsid w:val="00691D26"/>
    <w:rsid w:val="00695F61"/>
    <w:rsid w:val="006A1266"/>
    <w:rsid w:val="006A6C99"/>
    <w:rsid w:val="006A6F36"/>
    <w:rsid w:val="006C4A14"/>
    <w:rsid w:val="006D3425"/>
    <w:rsid w:val="006E20A1"/>
    <w:rsid w:val="006E4F1F"/>
    <w:rsid w:val="006E5FD0"/>
    <w:rsid w:val="00705CA3"/>
    <w:rsid w:val="00712CF0"/>
    <w:rsid w:val="00713E86"/>
    <w:rsid w:val="00715AF1"/>
    <w:rsid w:val="00720314"/>
    <w:rsid w:val="00724537"/>
    <w:rsid w:val="00724770"/>
    <w:rsid w:val="00731AA7"/>
    <w:rsid w:val="00732956"/>
    <w:rsid w:val="00734244"/>
    <w:rsid w:val="0073676D"/>
    <w:rsid w:val="00740E10"/>
    <w:rsid w:val="00743840"/>
    <w:rsid w:val="0074474A"/>
    <w:rsid w:val="007503D0"/>
    <w:rsid w:val="00750833"/>
    <w:rsid w:val="00750CF8"/>
    <w:rsid w:val="00755206"/>
    <w:rsid w:val="00760A8E"/>
    <w:rsid w:val="00766C0A"/>
    <w:rsid w:val="007767A6"/>
    <w:rsid w:val="007768CF"/>
    <w:rsid w:val="00777C6C"/>
    <w:rsid w:val="007841DD"/>
    <w:rsid w:val="0078755C"/>
    <w:rsid w:val="00787A29"/>
    <w:rsid w:val="007A1158"/>
    <w:rsid w:val="007A30F0"/>
    <w:rsid w:val="007B6351"/>
    <w:rsid w:val="007B63A9"/>
    <w:rsid w:val="007C139C"/>
    <w:rsid w:val="007C1454"/>
    <w:rsid w:val="007C2D3E"/>
    <w:rsid w:val="007C3587"/>
    <w:rsid w:val="007C43E1"/>
    <w:rsid w:val="007C498E"/>
    <w:rsid w:val="007D1C30"/>
    <w:rsid w:val="007D732A"/>
    <w:rsid w:val="007E2427"/>
    <w:rsid w:val="007E794E"/>
    <w:rsid w:val="0081124E"/>
    <w:rsid w:val="0082031A"/>
    <w:rsid w:val="00842249"/>
    <w:rsid w:val="00843F61"/>
    <w:rsid w:val="00853BCA"/>
    <w:rsid w:val="00867625"/>
    <w:rsid w:val="00867F5A"/>
    <w:rsid w:val="00877178"/>
    <w:rsid w:val="0087747A"/>
    <w:rsid w:val="00881F4E"/>
    <w:rsid w:val="00882842"/>
    <w:rsid w:val="008857F0"/>
    <w:rsid w:val="0088775F"/>
    <w:rsid w:val="00892A09"/>
    <w:rsid w:val="00897A71"/>
    <w:rsid w:val="008A1F59"/>
    <w:rsid w:val="008A3FC0"/>
    <w:rsid w:val="008C05BF"/>
    <w:rsid w:val="008C485A"/>
    <w:rsid w:val="008D1075"/>
    <w:rsid w:val="008F3AD8"/>
    <w:rsid w:val="00902B5D"/>
    <w:rsid w:val="009050D8"/>
    <w:rsid w:val="00907D92"/>
    <w:rsid w:val="0091048F"/>
    <w:rsid w:val="00911A53"/>
    <w:rsid w:val="00913B11"/>
    <w:rsid w:val="009223A6"/>
    <w:rsid w:val="009236EC"/>
    <w:rsid w:val="00930994"/>
    <w:rsid w:val="00930FCA"/>
    <w:rsid w:val="00937AAD"/>
    <w:rsid w:val="00941BEA"/>
    <w:rsid w:val="00942BAC"/>
    <w:rsid w:val="00961A62"/>
    <w:rsid w:val="009729FB"/>
    <w:rsid w:val="00987245"/>
    <w:rsid w:val="009942D6"/>
    <w:rsid w:val="00997433"/>
    <w:rsid w:val="009A7EEC"/>
    <w:rsid w:val="009B32BE"/>
    <w:rsid w:val="009B5D0E"/>
    <w:rsid w:val="009C3035"/>
    <w:rsid w:val="009D00E7"/>
    <w:rsid w:val="009D3870"/>
    <w:rsid w:val="009D4E64"/>
    <w:rsid w:val="009D6CB7"/>
    <w:rsid w:val="009E01C5"/>
    <w:rsid w:val="009E2B6C"/>
    <w:rsid w:val="009E57AD"/>
    <w:rsid w:val="009F1E83"/>
    <w:rsid w:val="009F252F"/>
    <w:rsid w:val="009F3BCB"/>
    <w:rsid w:val="009F49B5"/>
    <w:rsid w:val="00A04C1F"/>
    <w:rsid w:val="00A30C30"/>
    <w:rsid w:val="00A33EC4"/>
    <w:rsid w:val="00A42F91"/>
    <w:rsid w:val="00A451FA"/>
    <w:rsid w:val="00A454D2"/>
    <w:rsid w:val="00A55227"/>
    <w:rsid w:val="00A65581"/>
    <w:rsid w:val="00A67D2E"/>
    <w:rsid w:val="00A712D7"/>
    <w:rsid w:val="00A83D0E"/>
    <w:rsid w:val="00A858F9"/>
    <w:rsid w:val="00AC1D19"/>
    <w:rsid w:val="00AC2D78"/>
    <w:rsid w:val="00AE34E3"/>
    <w:rsid w:val="00AF2CBE"/>
    <w:rsid w:val="00B04837"/>
    <w:rsid w:val="00B072D4"/>
    <w:rsid w:val="00B1469B"/>
    <w:rsid w:val="00B2243B"/>
    <w:rsid w:val="00B235E5"/>
    <w:rsid w:val="00B3006C"/>
    <w:rsid w:val="00B35E04"/>
    <w:rsid w:val="00B41A8C"/>
    <w:rsid w:val="00B6354F"/>
    <w:rsid w:val="00B63BE6"/>
    <w:rsid w:val="00B67EC2"/>
    <w:rsid w:val="00B74A4B"/>
    <w:rsid w:val="00B7604A"/>
    <w:rsid w:val="00B8167B"/>
    <w:rsid w:val="00B97EC9"/>
    <w:rsid w:val="00BA1627"/>
    <w:rsid w:val="00BA2CC6"/>
    <w:rsid w:val="00BA4695"/>
    <w:rsid w:val="00BB6F67"/>
    <w:rsid w:val="00BC67AF"/>
    <w:rsid w:val="00BC6FF5"/>
    <w:rsid w:val="00BD35EC"/>
    <w:rsid w:val="00BD7F4F"/>
    <w:rsid w:val="00BE2A15"/>
    <w:rsid w:val="00BE3FFA"/>
    <w:rsid w:val="00BF02CC"/>
    <w:rsid w:val="00BF62AC"/>
    <w:rsid w:val="00BF62BA"/>
    <w:rsid w:val="00C018E1"/>
    <w:rsid w:val="00C0505B"/>
    <w:rsid w:val="00C12591"/>
    <w:rsid w:val="00C12C76"/>
    <w:rsid w:val="00C12D12"/>
    <w:rsid w:val="00C12FDC"/>
    <w:rsid w:val="00C23BA7"/>
    <w:rsid w:val="00C42D0C"/>
    <w:rsid w:val="00C5444C"/>
    <w:rsid w:val="00C56239"/>
    <w:rsid w:val="00C57673"/>
    <w:rsid w:val="00C60280"/>
    <w:rsid w:val="00C67156"/>
    <w:rsid w:val="00C704BD"/>
    <w:rsid w:val="00C75C14"/>
    <w:rsid w:val="00C97C6D"/>
    <w:rsid w:val="00CA519D"/>
    <w:rsid w:val="00CB02B4"/>
    <w:rsid w:val="00CB3F38"/>
    <w:rsid w:val="00CC1953"/>
    <w:rsid w:val="00CC2388"/>
    <w:rsid w:val="00CC2DBE"/>
    <w:rsid w:val="00CC6521"/>
    <w:rsid w:val="00CD06D0"/>
    <w:rsid w:val="00CD7119"/>
    <w:rsid w:val="00CE4623"/>
    <w:rsid w:val="00CE49B2"/>
    <w:rsid w:val="00CE615B"/>
    <w:rsid w:val="00CF085E"/>
    <w:rsid w:val="00CF3C47"/>
    <w:rsid w:val="00CF6934"/>
    <w:rsid w:val="00D01191"/>
    <w:rsid w:val="00D02176"/>
    <w:rsid w:val="00D274DB"/>
    <w:rsid w:val="00D27685"/>
    <w:rsid w:val="00D3318B"/>
    <w:rsid w:val="00D35701"/>
    <w:rsid w:val="00D36EC0"/>
    <w:rsid w:val="00D5214C"/>
    <w:rsid w:val="00D55022"/>
    <w:rsid w:val="00D864CC"/>
    <w:rsid w:val="00D95043"/>
    <w:rsid w:val="00DA5C72"/>
    <w:rsid w:val="00DB22A2"/>
    <w:rsid w:val="00DB34E4"/>
    <w:rsid w:val="00DB5C12"/>
    <w:rsid w:val="00DB70AB"/>
    <w:rsid w:val="00DD1AA8"/>
    <w:rsid w:val="00DD3715"/>
    <w:rsid w:val="00DD66C4"/>
    <w:rsid w:val="00DD744A"/>
    <w:rsid w:val="00DE1F05"/>
    <w:rsid w:val="00DE54DD"/>
    <w:rsid w:val="00DF7FA0"/>
    <w:rsid w:val="00E01FAA"/>
    <w:rsid w:val="00E13173"/>
    <w:rsid w:val="00E21652"/>
    <w:rsid w:val="00E22E7D"/>
    <w:rsid w:val="00E355DF"/>
    <w:rsid w:val="00E41D60"/>
    <w:rsid w:val="00E5584E"/>
    <w:rsid w:val="00E639D0"/>
    <w:rsid w:val="00E67604"/>
    <w:rsid w:val="00E72BFB"/>
    <w:rsid w:val="00E74DB4"/>
    <w:rsid w:val="00E814DD"/>
    <w:rsid w:val="00E9764D"/>
    <w:rsid w:val="00EA1090"/>
    <w:rsid w:val="00EB744A"/>
    <w:rsid w:val="00EC114B"/>
    <w:rsid w:val="00EC736B"/>
    <w:rsid w:val="00ED50C6"/>
    <w:rsid w:val="00EE7624"/>
    <w:rsid w:val="00F03E98"/>
    <w:rsid w:val="00F112B7"/>
    <w:rsid w:val="00F1341F"/>
    <w:rsid w:val="00F148EC"/>
    <w:rsid w:val="00F2187E"/>
    <w:rsid w:val="00F31819"/>
    <w:rsid w:val="00F32528"/>
    <w:rsid w:val="00F32C2A"/>
    <w:rsid w:val="00F41124"/>
    <w:rsid w:val="00F46FEB"/>
    <w:rsid w:val="00F47600"/>
    <w:rsid w:val="00F50211"/>
    <w:rsid w:val="00F7104E"/>
    <w:rsid w:val="00F81015"/>
    <w:rsid w:val="00F838C1"/>
    <w:rsid w:val="00F868AD"/>
    <w:rsid w:val="00F95D25"/>
    <w:rsid w:val="00FA01CA"/>
    <w:rsid w:val="00FA1CD8"/>
    <w:rsid w:val="00FA5134"/>
    <w:rsid w:val="00FB6A6A"/>
    <w:rsid w:val="00FB6E06"/>
    <w:rsid w:val="00FC1820"/>
    <w:rsid w:val="00FC3599"/>
    <w:rsid w:val="00FC359C"/>
    <w:rsid w:val="00FC3C56"/>
    <w:rsid w:val="00FC4ED7"/>
    <w:rsid w:val="00FD4686"/>
    <w:rsid w:val="00FD58C7"/>
    <w:rsid w:val="00FD5DC3"/>
    <w:rsid w:val="00FE389A"/>
    <w:rsid w:val="00FE39B0"/>
    <w:rsid w:val="00FE77FE"/>
    <w:rsid w:val="00FF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87747A"/>
    <w:pPr>
      <w:spacing w:after="0" w:line="240" w:lineRule="auto"/>
      <w:ind w:left="1701"/>
    </w:pPr>
    <w:rPr>
      <w:rFonts w:ascii="Constantia" w:eastAsiaTheme="minorEastAsia" w:hAnsi="Constantia"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7747A"/>
    <w:pPr>
      <w:spacing w:after="0" w:line="240" w:lineRule="auto"/>
      <w:ind w:left="1701"/>
    </w:pPr>
    <w:rPr>
      <w:rFonts w:ascii="Constantia" w:eastAsiaTheme="minorEastAsia" w:hAnsi="Constantia"/>
      <w:sz w:val="20"/>
      <w:szCs w:val="20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4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44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G.B. Testolin</dc:creator>
  <cp:lastModifiedBy>G.B. Testolin</cp:lastModifiedBy>
  <cp:revision>3</cp:revision>
  <dcterms:created xsi:type="dcterms:W3CDTF">2013-07-01T22:59:00Z</dcterms:created>
  <dcterms:modified xsi:type="dcterms:W3CDTF">2013-07-01T23:05:00Z</dcterms:modified>
</cp:coreProperties>
</file>